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08" w:rsidRDefault="00BB0A08" w:rsidP="00BB0A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652FC" w:rsidRDefault="00A652FC" w:rsidP="00A652F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11.04.2016 г. Контрольно-счетная палата Ханты-Мансийского района – внешняя проверка годового отчета об исполнении бюджета сельского поселения за 2015 год. Нарушений не выявлено. Отчетность соответствует Бюджетному Кодексу.</w:t>
      </w:r>
      <w:r>
        <w:rPr>
          <w:rFonts w:ascii="Times New Roman" w:hAnsi="Times New Roman"/>
          <w:sz w:val="28"/>
          <w:szCs w:val="28"/>
        </w:rPr>
        <w:t xml:space="preserve"> Достоверность отражает финансовое положение и результат исполнения бюджета.</w:t>
      </w:r>
      <w:bookmarkStart w:id="0" w:name="_GoBack"/>
      <w:bookmarkEnd w:id="0"/>
    </w:p>
    <w:p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5F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652FC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B0A0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A4A5F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2016-06-09T06:47:00Z</dcterms:created>
  <dcterms:modified xsi:type="dcterms:W3CDTF">2016-06-09T06:54:00Z</dcterms:modified>
</cp:coreProperties>
</file>